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246E9">
      <w:pPr>
        <w:ind w:firstLine="1320" w:firstLineChars="300"/>
        <w:jc w:val="both"/>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第二讲</w:t>
      </w:r>
      <w:r>
        <w:rPr>
          <w:rFonts w:hint="eastAsia" w:ascii="方正小标宋简体" w:hAnsi="方正小标宋简体" w:eastAsia="方正小标宋简体" w:cs="方正小标宋简体"/>
          <w:b w:val="0"/>
          <w:bCs/>
          <w:sz w:val="44"/>
          <w:szCs w:val="44"/>
          <w:lang w:val="en-US" w:eastAsia="zh-CN"/>
        </w:rPr>
        <w:t xml:space="preserve">  </w:t>
      </w:r>
      <w:r>
        <w:rPr>
          <w:rFonts w:hint="eastAsia" w:ascii="方正小标宋简体" w:hAnsi="方正小标宋简体" w:eastAsia="方正小标宋简体" w:cs="方正小标宋简体"/>
          <w:b w:val="0"/>
          <w:bCs/>
          <w:sz w:val="44"/>
          <w:szCs w:val="44"/>
        </w:rPr>
        <w:t>原发性胆汁性胆管炎</w:t>
      </w:r>
    </w:p>
    <w:p w14:paraId="249DAF4D">
      <w:pPr>
        <w:pStyle w:val="13"/>
        <w:spacing w:before="0" w:beforeAutospacing="0" w:after="0" w:afterAutospacing="0" w:line="240" w:lineRule="auto"/>
        <w:ind w:firstLine="960" w:firstLineChars="300"/>
        <w:contextualSpacing/>
        <w:jc w:val="both"/>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福建医科大学孟超肝胆医院 黄祖雄  林爱芳</w:t>
      </w:r>
    </w:p>
    <w:p w14:paraId="58DD06C1">
      <w:pPr>
        <w:pStyle w:val="13"/>
        <w:spacing w:before="0" w:beforeAutospacing="0" w:after="0" w:afterAutospacing="0" w:line="240" w:lineRule="auto"/>
        <w:contextualSpacing/>
        <w:jc w:val="center"/>
        <w:rPr>
          <w:rFonts w:hint="eastAsia"/>
          <w:bCs/>
          <w:sz w:val="21"/>
          <w:szCs w:val="21"/>
        </w:rPr>
      </w:pPr>
    </w:p>
    <w:p w14:paraId="27BD5AF9">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一、概述 </w:t>
      </w:r>
    </w:p>
    <w:p w14:paraId="6C58253E">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原发性胆汁性胆管炎（PBC，旧称原发性胆汁性肝硬化）是一种慢性自身免疫性肝内胆汁淤积性疾病。其病因和发病机制尚未完全阐明，可能与遗传因素及其与环境因素相互作用所导致的免疫紊乱有关。PBC多见于中老年女性，最常见的临床表现为乏力和皮肤瘙痒。其血生物化（GGT）升高，免疫学特点是抗线粒体抗体（AMAs）阳性、血清免疫球蛋白M（IgM）升高，病理学特点是非化脓性破坏性小胆管炎。熊去氧胆酸是治疗本病的首选药物。 </w:t>
      </w:r>
    </w:p>
    <w:p w14:paraId="35C56ECD">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二、流行病学 </w:t>
      </w:r>
    </w:p>
    <w:p w14:paraId="36BB4250">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PBC呈全球性分布，可发生于所有种族和民族。PBC发病率和患病率在全球均呈上升趋势，年发病率为0.23/10万~5.31/ 10万，患病率为1.91/10万~40.2/10万，以北美和北欧国家最高。我国尚缺乏基于人群的 PBC流行病学数据。最近有分析估算出中国PBC的患病率为 20.5/10万，在亚太地区位居第二位，仅次于日本。 </w:t>
      </w:r>
    </w:p>
    <w:p w14:paraId="543749C8">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三、自然病史 </w:t>
      </w:r>
    </w:p>
    <w:p w14:paraId="25FB10D4">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UDCA应用治疗之前，PBC的自然史大致分为4个阶段：（1）临床前期：AMAs阳性，但生物化学指标无明显异常；（2）无症状期：有生化学指标异常，但没有明显临床症状；（3）症状期：出现乏力、皮肤瘙痒等症状；（4）失代偿期：出现消化道出血、腹水、肝性脑病等临床表现。本病的早期诊断及UDCA的应用，极大地改变了PBC的疾病进程。对UDCA生化应答较好的早期PBC患者，其生存期与年龄、性别相匹配的健康人群相似；对UDCA应答欠佳患者的无肝移植生存率显著低于健康对照人群，但仍高于未经UDCA治疗的PBC患者。</w:t>
      </w:r>
      <w:r>
        <w:rPr>
          <w:rFonts w:hint="eastAsia" w:ascii="仿宋_GB2312" w:hAnsi="仿宋_GB2312" w:eastAsia="仿宋_GB2312" w:cs="仿宋_GB2312"/>
          <w:position w:val="8"/>
          <w:sz w:val="32"/>
          <w:szCs w:val="32"/>
        </w:rPr>
        <w:t xml:space="preserve"> </w:t>
      </w:r>
    </w:p>
    <w:p w14:paraId="60477D74">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 四、临床表现 </w:t>
      </w:r>
    </w:p>
    <w:p w14:paraId="3CF2327E">
      <w:pPr>
        <w:keepNext w:val="0"/>
        <w:keepLines w:val="0"/>
        <w:pageBreakBefore w:val="0"/>
        <w:kinsoku/>
        <w:wordWrap/>
        <w:overflowPunct/>
        <w:topLinePunct w:val="0"/>
        <w:autoSpaceDE/>
        <w:autoSpaceDN/>
        <w:bidi w:val="0"/>
        <w:adjustRightInd/>
        <w:snapToGrid/>
        <w:spacing w:before="156" w:beforeLines="50" w:after="156" w:afterLines="50" w:line="590" w:lineRule="exact"/>
        <w:ind w:right="100" w:rightChars="50" w:firstLine="640" w:firstLineChars="200"/>
        <w:contextualSpacing/>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临床PBC可分为4个期：</w:t>
      </w:r>
    </w:p>
    <w:p w14:paraId="505E3B8F">
      <w:pPr>
        <w:keepNext w:val="0"/>
        <w:keepLines w:val="0"/>
        <w:pageBreakBefore w:val="0"/>
        <w:kinsoku/>
        <w:wordWrap/>
        <w:overflowPunct/>
        <w:topLinePunct w:val="0"/>
        <w:autoSpaceDE/>
        <w:autoSpaceDN/>
        <w:bidi w:val="0"/>
        <w:adjustRightInd/>
        <w:snapToGrid/>
        <w:spacing w:before="156" w:beforeLines="50" w:after="156" w:afterLines="50" w:line="590" w:lineRule="exact"/>
        <w:ind w:right="100" w:rightChars="50" w:firstLine="640" w:firstLineChars="200"/>
        <w:contextualSpacing/>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rPr>
        <w:t>1.早期</w:t>
      </w:r>
      <w:r>
        <w:rPr>
          <w:rFonts w:hint="eastAsia" w:ascii="仿宋_GB2312" w:hAnsi="仿宋_GB2312" w:eastAsia="仿宋_GB2312" w:cs="仿宋_GB2312"/>
          <w:sz w:val="32"/>
          <w:szCs w:val="32"/>
        </w:rPr>
        <w:t>：</w:t>
      </w:r>
      <w:r>
        <w:rPr>
          <w:rFonts w:hint="eastAsia" w:ascii="仿宋_GB2312" w:hAnsi="仿宋_GB2312" w:eastAsia="仿宋_GB2312" w:cs="仿宋_GB2312"/>
          <w:color w:val="333333"/>
          <w:sz w:val="32"/>
          <w:szCs w:val="32"/>
        </w:rPr>
        <w:t>常有轻度乏力和间歇性瘙痒，半数有轻度肝大，少于1/4患者有脾大，血清碱性磷酸酶（ALP）及γ-谷氨酰转肽酶（GGT）增高常为唯一阳性发现。也可有抗线粒体抗体（AMA）阳性。瘙痒有日轻夜重的特点，黄疸可发生于瘙痒之后或同时。</w:t>
      </w:r>
    </w:p>
    <w:p w14:paraId="1F450A8D">
      <w:pPr>
        <w:keepNext w:val="0"/>
        <w:keepLines w:val="0"/>
        <w:pageBreakBefore w:val="0"/>
        <w:kinsoku/>
        <w:wordWrap/>
        <w:overflowPunct/>
        <w:topLinePunct w:val="0"/>
        <w:autoSpaceDE/>
        <w:autoSpaceDN/>
        <w:bidi w:val="0"/>
        <w:adjustRightInd/>
        <w:snapToGrid/>
        <w:spacing w:before="156" w:beforeLines="50" w:after="156" w:afterLines="50" w:line="590" w:lineRule="exact"/>
        <w:ind w:right="100" w:rightChars="50" w:firstLine="640" w:firstLineChars="200"/>
        <w:contextualSpacing/>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rPr>
        <w:t>2.无黄疸期：此期已有胆管破坏及减少，胆固醇增高，掌、跖、胸背皮肤、眼内眦有黄疣。</w:t>
      </w:r>
    </w:p>
    <w:p w14:paraId="504DD567">
      <w:pPr>
        <w:keepNext w:val="0"/>
        <w:keepLines w:val="0"/>
        <w:pageBreakBefore w:val="0"/>
        <w:kinsoku/>
        <w:wordWrap/>
        <w:overflowPunct/>
        <w:topLinePunct w:val="0"/>
        <w:autoSpaceDE/>
        <w:autoSpaceDN/>
        <w:bidi w:val="0"/>
        <w:adjustRightInd/>
        <w:snapToGrid/>
        <w:spacing w:before="156" w:beforeLines="50" w:after="156" w:afterLines="50" w:line="590" w:lineRule="exact"/>
        <w:ind w:right="100" w:rightChars="50" w:firstLine="480"/>
        <w:contextualSpacing/>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3.黄疸期：黄疸持续加深，此期相当于肝纤维化期，胆管已消失，可有骨质疏松、脂溶性维生素缺乏、维生素D代谢障碍等。</w:t>
      </w:r>
    </w:p>
    <w:p w14:paraId="2AE7CEBC">
      <w:pPr>
        <w:keepNext w:val="0"/>
        <w:keepLines w:val="0"/>
        <w:pageBreakBefore w:val="0"/>
        <w:kinsoku/>
        <w:wordWrap/>
        <w:overflowPunct/>
        <w:topLinePunct w:val="0"/>
        <w:autoSpaceDE/>
        <w:autoSpaceDN/>
        <w:bidi w:val="0"/>
        <w:adjustRightInd/>
        <w:snapToGrid/>
        <w:spacing w:before="156" w:beforeLines="50" w:after="156" w:afterLines="50" w:line="590" w:lineRule="exact"/>
        <w:ind w:right="100" w:rightChars="50" w:firstLine="480"/>
        <w:contextualSpacing/>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4.晚期：肝脾均明显增大，乏力加重，可出现腹水及门静脉高压，食管静脉曲张，已达肝硬化期。其他症状包括指端增大（杵状指），骨、周围神经、肾异常，粪便灰白、油腻伴恶臭等，后期肝硬化所有症状和并发症都会出现。</w:t>
      </w:r>
    </w:p>
    <w:p w14:paraId="4792AC60">
      <w:pPr>
        <w:keepNext w:val="0"/>
        <w:keepLines w:val="0"/>
        <w:pageBreakBefore w:val="0"/>
        <w:kinsoku/>
        <w:wordWrap/>
        <w:overflowPunct/>
        <w:topLinePunct w:val="0"/>
        <w:autoSpaceDE/>
        <w:autoSpaceDN/>
        <w:bidi w:val="0"/>
        <w:adjustRightInd/>
        <w:snapToGrid/>
        <w:spacing w:before="156" w:beforeLines="50" w:after="156" w:afterLines="50" w:line="590" w:lineRule="exact"/>
        <w:ind w:right="100" w:rightChars="50"/>
        <w:contextualSpacing/>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五、实验室、影像学及病理检查</w:t>
      </w:r>
    </w:p>
    <w:p w14:paraId="56E4B122">
      <w:pPr>
        <w:keepNext w:val="0"/>
        <w:keepLines w:val="0"/>
        <w:pageBreakBefore w:val="0"/>
        <w:kinsoku/>
        <w:wordWrap/>
        <w:overflowPunct/>
        <w:topLinePunct w:val="0"/>
        <w:autoSpaceDE/>
        <w:autoSpaceDN/>
        <w:bidi w:val="0"/>
        <w:adjustRightInd/>
        <w:snapToGrid/>
        <w:spacing w:before="156" w:beforeLines="50" w:after="156" w:afterLines="50" w:line="590" w:lineRule="exact"/>
        <w:ind w:right="100" w:rightChars="50"/>
        <w:contextualSpacing/>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（一）血生物化学检查 </w:t>
      </w:r>
    </w:p>
    <w:p w14:paraId="7E39298F">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以 ALP 和/或 GGT 明显升高为主要特征，可同时伴有丙氨酸转氨酶（ALT）和天冬氨酸转氨酶（AST）的轻度至中度升高。随疾病进展，血清胆红素(主要是直接胆红素)逐步升高，血清白蛋白逐渐降低。 </w:t>
      </w:r>
    </w:p>
    <w:p w14:paraId="523860D7">
      <w:pPr>
        <w:keepNext w:val="0"/>
        <w:keepLines w:val="0"/>
        <w:pageBreakBefore w:val="0"/>
        <w:kinsoku/>
        <w:wordWrap/>
        <w:overflowPunct/>
        <w:topLinePunct w:val="0"/>
        <w:autoSpaceDE/>
        <w:autoSpaceDN/>
        <w:bidi w:val="0"/>
        <w:adjustRightInd/>
        <w:snapToGrid/>
        <w:spacing w:before="156" w:beforeLines="50" w:after="156" w:afterLines="50" w:line="590" w:lineRule="exact"/>
        <w:ind w:right="100" w:rightChars="50"/>
        <w:contextualSpacing/>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（二）免疫学检查</w:t>
      </w:r>
    </w:p>
    <w:p w14:paraId="45CD1D52">
      <w:pPr>
        <w:keepNext w:val="0"/>
        <w:keepLines w:val="0"/>
        <w:pageBreakBefore w:val="0"/>
        <w:widowControl w:val="0"/>
        <w:kinsoku/>
        <w:wordWrap/>
        <w:overflowPunct/>
        <w:topLinePunct w:val="0"/>
        <w:autoSpaceDE/>
        <w:autoSpaceDN/>
        <w:bidi w:val="0"/>
        <w:adjustRightInd/>
        <w:snapToGrid/>
        <w:spacing w:before="156" w:beforeLines="50" w:after="156" w:afterLines="50" w:line="590" w:lineRule="exact"/>
        <w:ind w:right="100" w:rightChars="50" w:firstLine="640" w:firstLineChars="200"/>
        <w:contextualSpacing/>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抗线粒体抗体(AMAs)：血清AMAs是诊断PBC的特异性标志物，尤其是AMA‐M</w:t>
      </w:r>
      <w:r>
        <w:rPr>
          <w:rFonts w:hint="eastAsia" w:ascii="仿宋_GB2312" w:hAnsi="仿宋_GB2312" w:eastAsia="仿宋_GB2312" w:cs="仿宋_GB2312"/>
          <w:position w:val="-4"/>
          <w:sz w:val="32"/>
          <w:szCs w:val="32"/>
        </w:rPr>
        <w:t xml:space="preserve">2 </w:t>
      </w:r>
      <w:r>
        <w:rPr>
          <w:rFonts w:hint="eastAsia" w:ascii="仿宋_GB2312" w:hAnsi="仿宋_GB2312" w:eastAsia="仿宋_GB2312" w:cs="仿宋_GB2312"/>
          <w:sz w:val="32"/>
          <w:szCs w:val="32"/>
        </w:rPr>
        <w:t xml:space="preserve">亚型，诊断本病的敏感度和特异度高达90%~95%。但是，AMAs阳性也可见于各种肝内及肝外疾病，如自身免疫性肝炎(AIH)、慢性丙型肝炎、各种原因所致急性肝衰竭、系统性红斑狼疮、干燥综合征、慢性细菌感染等，甚至是健康人群。 </w:t>
      </w:r>
    </w:p>
    <w:p w14:paraId="7471C29D">
      <w:pPr>
        <w:pStyle w:val="13"/>
        <w:keepNext w:val="0"/>
        <w:keepLines w:val="0"/>
        <w:pageBreakBefore w:val="0"/>
        <w:widowControl w:val="0"/>
        <w:kinsoku/>
        <w:wordWrap/>
        <w:overflowPunct/>
        <w:topLinePunct w:val="0"/>
        <w:autoSpaceDE/>
        <w:autoSpaceDN/>
        <w:bidi w:val="0"/>
        <w:adjustRightInd/>
        <w:snapToGrid/>
        <w:spacing w:before="156" w:beforeLines="50" w:beforeAutospacing="0" w:after="156" w:afterLines="50" w:afterAutospacing="0" w:line="590" w:lineRule="exact"/>
        <w:ind w:right="100" w:rightChars="50"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 抗核抗体（ANA s）：大约50%的PBC患者ANAs阳性，在AMAs阴性时是诊断PBC的另一重要标志物。核膜型（主要以gp210和p62为靶点）和核点型（以包括sp100在内的多个蛋白为靶点)对PBC具有高度特异性。分析表明，对于AMAs阴性者，抗 gp210抗体和抗 sp100 抗体诊断PBC的敏感度分别为23%和25%，但特异度很高（分别为99%和97%）。抗 gp210抗体和抗sp100抗体同时阳性对于诊断PBC的阳性预测值可达到100%。</w:t>
      </w:r>
    </w:p>
    <w:p w14:paraId="5AE896D0">
      <w:pPr>
        <w:keepNext w:val="0"/>
        <w:keepLines w:val="0"/>
        <w:pageBreakBefore w:val="0"/>
        <w:kinsoku/>
        <w:wordWrap/>
        <w:overflowPunct/>
        <w:topLinePunct w:val="0"/>
        <w:autoSpaceDE/>
        <w:autoSpaceDN/>
        <w:bidi w:val="0"/>
        <w:adjustRightInd/>
        <w:snapToGrid/>
        <w:spacing w:before="156" w:beforeLines="50" w:after="156" w:afterLines="50" w:line="590" w:lineRule="exact"/>
        <w:ind w:right="100" w:rightChars="50"/>
        <w:contextualSpacing/>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（三）影像学检查</w:t>
      </w:r>
    </w:p>
    <w:p w14:paraId="0DFBBCE5">
      <w:pPr>
        <w:keepNext w:val="0"/>
        <w:keepLines w:val="0"/>
        <w:pageBreakBefore w:val="0"/>
        <w:kinsoku/>
        <w:wordWrap/>
        <w:overflowPunct/>
        <w:topLinePunct w:val="0"/>
        <w:autoSpaceDE/>
        <w:autoSpaceDN/>
        <w:bidi w:val="0"/>
        <w:adjustRightInd/>
        <w:snapToGrid/>
        <w:spacing w:before="156" w:beforeLines="50" w:after="156" w:afterLines="50" w:line="590" w:lineRule="exact"/>
        <w:ind w:right="100" w:rightChars="50" w:firstLine="640" w:firstLineChars="200"/>
        <w:contextualSpacing/>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PBC患者胆管影像学检查通常无明显异常。影像学检查的主要目的是除外肝内外胆管梗阻及肝占位等病变，一般首选超声检查。对于AMAs阴性、短期内血清胆红素明显升高，以及超声检查发现可疑胆管狭窄或扩张者，需要进行磁共振胆胰管成像（MRCP），甚至经内镜逆行性胰胆管造影术（ERCP）。瞬时弹性成像或磁共振弹性成像可判断肝脏硬度，可用于评估 PBC 患者的分期。 </w:t>
      </w:r>
    </w:p>
    <w:p w14:paraId="5DC76CE3">
      <w:pPr>
        <w:keepNext w:val="0"/>
        <w:keepLines w:val="0"/>
        <w:pageBreakBefore w:val="0"/>
        <w:kinsoku/>
        <w:wordWrap/>
        <w:overflowPunct/>
        <w:topLinePunct w:val="0"/>
        <w:autoSpaceDE/>
        <w:autoSpaceDN/>
        <w:bidi w:val="0"/>
        <w:adjustRightInd/>
        <w:snapToGrid/>
        <w:spacing w:before="156" w:beforeLines="50" w:after="156" w:afterLines="50" w:line="590" w:lineRule="exact"/>
        <w:ind w:right="100" w:rightChars="50"/>
        <w:contextualSpacing/>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（四）病理特征和组织学分期 </w:t>
      </w:r>
    </w:p>
    <w:p w14:paraId="0B0A430A">
      <w:pPr>
        <w:keepNext w:val="0"/>
        <w:keepLines w:val="0"/>
        <w:pageBreakBefore w:val="0"/>
        <w:kinsoku/>
        <w:wordWrap/>
        <w:overflowPunct/>
        <w:topLinePunct w:val="0"/>
        <w:autoSpaceDE/>
        <w:autoSpaceDN/>
        <w:bidi w:val="0"/>
        <w:adjustRightInd/>
        <w:snapToGrid/>
        <w:spacing w:before="156" w:beforeLines="50" w:after="156" w:afterLines="50" w:line="590" w:lineRule="exact"/>
        <w:ind w:right="100" w:rightChars="50" w:firstLine="640" w:firstLineChars="200"/>
        <w:contextualSpacing/>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PBC的病理学特点是累及小叶间胆管(简称小胆管)的慢性非化脓性破坏性胆管炎。有胆管周围淋巴细胞浸润且形成上皮样肉芽肿者，被称为旺炽性胆管病变，是PBC的特征性病变。当&gt;50%的汇管区未见小动脉旁伴行小胆管时，即被定义为胆管减少或消失。Ludwig等将PBC 分为4期。I期：胆管炎期。炎症局限于汇管区，受损的小胆管周围以淋巴、单核细胞浸润为主，亦可见浆细胞、嗜酸性粒细胞及少数中性粒细胞，有的胆管周围可见非干酪性上皮样肉芽肿，即特征性的旺炽性胆管病变。II期：汇管区周围炎期。汇管区炎症可突破界板深入小叶内，同时汇管区周边带可见细胆管增生，形成胆管性界面炎。III期：进行性纤维化期。部分纤维化扩大的汇管区之间以桥接纤维间隔相连。IV期：肝硬化期。汇管区之间的桥接纤维间隔分隔肝实质呈“七巧板”图样。 </w:t>
      </w:r>
    </w:p>
    <w:p w14:paraId="4808715A">
      <w:pPr>
        <w:pStyle w:val="13"/>
        <w:keepNext w:val="0"/>
        <w:keepLines w:val="0"/>
        <w:pageBreakBefore w:val="0"/>
        <w:numPr>
          <w:ilvl w:val="0"/>
          <w:numId w:val="1"/>
        </w:numPr>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诊断与鉴别诊断 </w:t>
      </w:r>
    </w:p>
    <w:p w14:paraId="4A398EB7">
      <w:pPr>
        <w:pStyle w:val="13"/>
        <w:keepNext w:val="0"/>
        <w:keepLines w:val="0"/>
        <w:pageBreakBefore w:val="0"/>
        <w:numPr>
          <w:numId w:val="0"/>
        </w:numPr>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(一)诊断标准 </w:t>
      </w:r>
    </w:p>
    <w:p w14:paraId="09280023">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PBC的诊断需依据生物化学、免疫学、影像学及 组织学检查进行综合评估。满足以下3条标准中的2条即可诊断：</w:t>
      </w:r>
    </w:p>
    <w:p w14:paraId="3B8BD947">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（1）存在胆汁淤积的生物化学证据：主要是ALP和GGT升高，且影像学检查排除了肝外或肝内大胆管梗阻；</w:t>
      </w:r>
    </w:p>
    <w:p w14:paraId="73AD8C23">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（2）AMAs/AMA‐M</w:t>
      </w:r>
      <w:r>
        <w:rPr>
          <w:rFonts w:hint="eastAsia" w:ascii="仿宋_GB2312" w:hAnsi="仿宋_GB2312" w:eastAsia="仿宋_GB2312" w:cs="仿宋_GB2312"/>
          <w:position w:val="-4"/>
          <w:sz w:val="32"/>
          <w:szCs w:val="32"/>
        </w:rPr>
        <w:t xml:space="preserve">2 </w:t>
      </w:r>
      <w:r>
        <w:rPr>
          <w:rFonts w:hint="eastAsia" w:ascii="仿宋_GB2312" w:hAnsi="仿宋_GB2312" w:eastAsia="仿宋_GB2312" w:cs="仿宋_GB2312"/>
          <w:sz w:val="32"/>
          <w:szCs w:val="32"/>
        </w:rPr>
        <w:t>阳性，或其他PBC特异性自身抗体（抗gp210 抗体、抗 sp100 抗体）阳性；</w:t>
      </w:r>
    </w:p>
    <w:p w14:paraId="0755AABA">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（3）组织学上有非化脓性破坏性胆管炎和小胆管破坏的证据。 </w:t>
      </w:r>
    </w:p>
    <w:p w14:paraId="028568B1">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(二)鉴别诊断</w:t>
      </w:r>
    </w:p>
    <w:p w14:paraId="40726DC1">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PBC的鉴别诊断应包括其他各种病因所致的肝外或肝内胆汁淤积。肝内胆汁淤积的病因繁多，需依靠病史、体检、 生化、免疫、影像、病理及基因检测等手段综合判断。（1）结石、炎性狭窄或肿瘤等引起的肝外或肝内大胆管梗阻，一般经超声、CT、MRI等影像检查即可发现；（2）累及肝细胞的疾病（如酒精性肝病、 药物性肝损伤等）；（3）累及胆管的疾病（如小胆管型原发性硬化性胆管炎、IgG4相关性胆管炎、成人特发性胆管减少症及良性再发性或进行性家族性肝内胆汁淤积等）；（4）累及血管性疾病（如肝窦阻塞综合征、布加综合征等）；（5）其他，如：结节病、朗格汉斯细胞组织细胞增生症及肝淀粉样变性等疾病。 </w:t>
      </w:r>
    </w:p>
    <w:p w14:paraId="333A14CE">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七、PBC 的治疗</w:t>
      </w:r>
    </w:p>
    <w:p w14:paraId="0553CD42">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（一）一线治疗 </w:t>
      </w:r>
    </w:p>
    <w:p w14:paraId="06848508">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UDCA是治疗PBC的一线药物， UDCA（13~15mg·kg</w:t>
      </w:r>
      <w:r>
        <w:rPr>
          <w:rFonts w:hint="eastAsia" w:ascii="仿宋_GB2312" w:hAnsi="仿宋_GB2312" w:eastAsia="仿宋_GB2312" w:cs="仿宋_GB2312"/>
          <w:position w:val="8"/>
          <w:sz w:val="32"/>
          <w:szCs w:val="32"/>
        </w:rPr>
        <w:t>-1</w:t>
      </w:r>
      <w:r>
        <w:rPr>
          <w:rFonts w:hint="eastAsia" w:ascii="仿宋_GB2312" w:hAnsi="仿宋_GB2312" w:eastAsia="仿宋_GB2312" w:cs="仿宋_GB2312"/>
          <w:sz w:val="32"/>
          <w:szCs w:val="32"/>
        </w:rPr>
        <w:t>·d</w:t>
      </w:r>
      <w:r>
        <w:rPr>
          <w:rFonts w:hint="eastAsia" w:ascii="仿宋_GB2312" w:hAnsi="仿宋_GB2312" w:eastAsia="仿宋_GB2312" w:cs="仿宋_GB2312"/>
          <w:position w:val="8"/>
          <w:sz w:val="32"/>
          <w:szCs w:val="32"/>
        </w:rPr>
        <w:t>-1</w:t>
      </w:r>
      <w:r>
        <w:rPr>
          <w:rFonts w:hint="eastAsia" w:ascii="仿宋_GB2312" w:hAnsi="仿宋_GB2312" w:eastAsia="仿宋_GB2312" w:cs="仿宋_GB2312"/>
          <w:sz w:val="32"/>
          <w:szCs w:val="32"/>
        </w:rPr>
        <w:t>）可以改善PBC患者生化学指标、延缓疾病进程，并延长无肝移植生存期。UDCA剂量过小时（≤10 mg·kg</w:t>
      </w:r>
      <w:r>
        <w:rPr>
          <w:rFonts w:hint="eastAsia" w:ascii="仿宋_GB2312" w:hAnsi="仿宋_GB2312" w:eastAsia="仿宋_GB2312" w:cs="仿宋_GB2312"/>
          <w:position w:val="8"/>
          <w:sz w:val="32"/>
          <w:szCs w:val="32"/>
        </w:rPr>
        <w:t>-1</w:t>
      </w:r>
      <w:r>
        <w:rPr>
          <w:rFonts w:hint="eastAsia" w:ascii="仿宋_GB2312" w:hAnsi="仿宋_GB2312" w:eastAsia="仿宋_GB2312" w:cs="仿宋_GB2312"/>
          <w:sz w:val="32"/>
          <w:szCs w:val="32"/>
        </w:rPr>
        <w:t>·d</w:t>
      </w:r>
      <w:r>
        <w:rPr>
          <w:rFonts w:hint="eastAsia" w:ascii="仿宋_GB2312" w:hAnsi="仿宋_GB2312" w:eastAsia="仿宋_GB2312" w:cs="仿宋_GB2312"/>
          <w:position w:val="8"/>
          <w:sz w:val="32"/>
          <w:szCs w:val="32"/>
        </w:rPr>
        <w:t>-1</w:t>
      </w:r>
      <w:r>
        <w:rPr>
          <w:rFonts w:hint="eastAsia" w:ascii="仿宋_GB2312" w:hAnsi="仿宋_GB2312" w:eastAsia="仿宋_GB2312" w:cs="仿宋_GB2312"/>
          <w:sz w:val="32"/>
          <w:szCs w:val="32"/>
        </w:rPr>
        <w:t>），PBC患者疗效较差。因此，长期治疗中，需动态评估患者体重并及时调整 UDCA 剂量。过高剂量 UDCA（28~32mg·kg</w:t>
      </w:r>
      <w:r>
        <w:rPr>
          <w:rFonts w:hint="eastAsia" w:ascii="仿宋_GB2312" w:hAnsi="仿宋_GB2312" w:eastAsia="仿宋_GB2312" w:cs="仿宋_GB2312"/>
          <w:position w:val="8"/>
          <w:sz w:val="32"/>
          <w:szCs w:val="32"/>
        </w:rPr>
        <w:t>-1</w:t>
      </w:r>
      <w:r>
        <w:rPr>
          <w:rFonts w:hint="eastAsia" w:ascii="仿宋_GB2312" w:hAnsi="仿宋_GB2312" w:eastAsia="仿宋_GB2312" w:cs="仿宋_GB2312"/>
          <w:sz w:val="32"/>
          <w:szCs w:val="32"/>
        </w:rPr>
        <w:t>· d</w:t>
      </w:r>
      <w:r>
        <w:rPr>
          <w:rFonts w:hint="eastAsia" w:ascii="仿宋_GB2312" w:hAnsi="仿宋_GB2312" w:eastAsia="仿宋_GB2312" w:cs="仿宋_GB2312"/>
          <w:position w:val="8"/>
          <w:sz w:val="32"/>
          <w:szCs w:val="32"/>
        </w:rPr>
        <w:t>-1</w:t>
      </w:r>
      <w:r>
        <w:rPr>
          <w:rFonts w:hint="eastAsia" w:ascii="仿宋_GB2312" w:hAnsi="仿宋_GB2312" w:eastAsia="仿宋_GB2312" w:cs="仿宋_GB2312"/>
          <w:sz w:val="32"/>
          <w:szCs w:val="32"/>
        </w:rPr>
        <w:t>）并未增加对标准剂量应答不佳PBC患者的临床获益。目前推荐UDCA13~15 mg·kg</w:t>
      </w:r>
      <w:r>
        <w:rPr>
          <w:rFonts w:hint="eastAsia" w:ascii="仿宋_GB2312" w:hAnsi="仿宋_GB2312" w:eastAsia="仿宋_GB2312" w:cs="仿宋_GB2312"/>
          <w:position w:val="8"/>
          <w:sz w:val="32"/>
          <w:szCs w:val="32"/>
        </w:rPr>
        <w:t>-1</w:t>
      </w:r>
      <w:r>
        <w:rPr>
          <w:rFonts w:hint="eastAsia" w:ascii="仿宋_GB2312" w:hAnsi="仿宋_GB2312" w:eastAsia="仿宋_GB2312" w:cs="仿宋_GB2312"/>
          <w:sz w:val="32"/>
          <w:szCs w:val="32"/>
        </w:rPr>
        <w:t>·d</w:t>
      </w:r>
      <w:r>
        <w:rPr>
          <w:rFonts w:hint="eastAsia" w:ascii="仿宋_GB2312" w:hAnsi="仿宋_GB2312" w:eastAsia="仿宋_GB2312" w:cs="仿宋_GB2312"/>
          <w:position w:val="8"/>
          <w:sz w:val="32"/>
          <w:szCs w:val="32"/>
        </w:rPr>
        <w:t xml:space="preserve">-1 </w:t>
      </w:r>
      <w:r>
        <w:rPr>
          <w:rFonts w:hint="eastAsia" w:ascii="仿宋_GB2312" w:hAnsi="仿宋_GB2312" w:eastAsia="仿宋_GB2312" w:cs="仿宋_GB2312"/>
          <w:sz w:val="32"/>
          <w:szCs w:val="32"/>
        </w:rPr>
        <w:t xml:space="preserve">用于PBC的治疗，可分次或一次顿服，需长期服药。如同时应用考来烯胺，两者应间隔至少4~6 h。 </w:t>
      </w:r>
    </w:p>
    <w:p w14:paraId="5304528A">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UDCA安全性良好。其不良反应较少，主要包括腹泻、腹胀、体重增加及瘙痒加重等，通常不需要停药。极少数患者会出现过敏，以及不能耐受药物副作用。</w:t>
      </w:r>
    </w:p>
    <w:p w14:paraId="666BC3B8">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 UDCA 生化应答不佳的患者长期预后差、生存率低，需考虑二线治疗。国际上有多种评价UDCA治疗后生物化学应答的标准。其中，巴黎I（治疗12个月后，ALP≤3×ULN，AST≤2×ULN 和胆红素≤1 mg/dl）和巴黎II（治疗12个月后，ALP≤1.5×ULN，AST≤1.5×ULN 和胆红素≤1 mg/dl ）标准应用较多，巴黎I标准用于评估晚期PBC（III ~ IV期）患者生化应答，巴黎II标准用于评估早期PBC（I ~ II期）患者生化应答。此外，在新药临床试验中，多采用 ALP≥1.67 ULN 作为生化应答不佳的重要标准。</w:t>
      </w:r>
    </w:p>
    <w:p w14:paraId="54316A06">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（二）二线治疗 </w:t>
      </w:r>
    </w:p>
    <w:p w14:paraId="126F9B11">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奥贝胆酸（OCA）：OCA是目前唯一被欧美国家批准治疗的PBC二线药物。OCA是一种半合成疏水性胆汁酸类似物，作为选择性法尼醇X受体（FXR）激动剂，可抑制胆酸合成限速酶基因的表达，从而抑制胆汁酸合成并促进其代谢和转化。此外，FXR信号还可影响炎症、代谢调节和肝纤维化。OCA可以改善对 UDCA 生化应答欠佳的PBC患者的生化指标及组织学进展。对 UDCA 生化应答欠佳以及不耐受的患者，加用或改用OCA（10 mg或者5~10 mg剂量滴定）治疗能显著改善肝脏生化指标。OCA可以显著降低对UDCA不耐受或应答欠佳 PBC 患者的ALP、总胆红素、直接胆红素，以及GLOBE和UK‐PBC评分。</w:t>
      </w:r>
    </w:p>
    <w:p w14:paraId="38255D84">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OCA 的主要副作用为瘙痒和乏力，其发生率分别为77%和33%</w:t>
      </w:r>
      <w:r>
        <w:rPr>
          <w:rFonts w:hint="eastAsia" w:ascii="仿宋_GB2312" w:hAnsi="仿宋_GB2312" w:eastAsia="仿宋_GB2312" w:cs="仿宋_GB2312"/>
          <w:position w:val="8"/>
          <w:sz w:val="32"/>
          <w:szCs w:val="32"/>
        </w:rPr>
        <w:t>[23]</w:t>
      </w:r>
      <w:r>
        <w:rPr>
          <w:rFonts w:hint="eastAsia" w:ascii="仿宋_GB2312" w:hAnsi="仿宋_GB2312" w:eastAsia="仿宋_GB2312" w:cs="仿宋_GB2312"/>
          <w:sz w:val="32"/>
          <w:szCs w:val="32"/>
        </w:rPr>
        <w:t>。其中瘙痒的发生呈剂量依赖性。此外，OCA 治疗还可导致高密度胆固醇降低，但是否会增加心血管事件风险尚有争议。需要注意的是，病例报道显示 OCA可导致严重的肝脏失代偿事件。美国食品和药物管理局对OCA发出新的警告，限制其在晚期肝硬化患者(出现肝性脑病、腹水、食管胃底静脉曲张等失代偿事件或持续性血小板减少)中使用 。故不建议将 OCA 用于失代偿期肝硬化患者，在用于早期肝硬化 患者时也需严密监测相关副作用 。</w:t>
      </w:r>
    </w:p>
    <w:p w14:paraId="6E2CD328">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 贝特类药物：贝特类药物（非诺贝特、苯扎贝特）可通过过氧化物酶体增殖物激活受体（P PAR）途径抑制胆汁酸生成。最与UDCA单药治疗相比，UDCA联合非诺贝特能更好地改善 ALP、GGT、IgM及甘油三酯水平，但对皮肤瘙痒及ALT水平的改善无差异。非诺贝特是否能改善PBC患者的长期预后尚不清楚。苯扎贝特同样可以改善对UDCA生化应答欠佳患者的生化指标。UDCA联合苯扎贝特可改善对UDCA生化应答欠佳患者的生化指标。苯扎贝特还可改善 PBC患者瘙痒症状。此外，苯扎贝特可显著降低对UDCA生化应答欠佳PBC患者（LP≥1.67 ULN）的全因和肝脏相关病死率或肝移植求。 </w:t>
      </w:r>
    </w:p>
    <w:p w14:paraId="7E93B27E">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贝特类药物最常见的不良事件包括血清转氨酶和血肌酐升高。此外，在贝特类药物应用过程中，还需警惕肌肉及潜在肾毒性等可能。非诺贝特和苯扎贝特在PBC患者的生化缓解率方面相当；非诺贝特降低低密度脂蛋白和尿酸水平的能力优于苯扎贝特</w:t>
      </w:r>
      <w:r>
        <w:rPr>
          <w:rFonts w:hint="eastAsia" w:ascii="仿宋_GB2312" w:hAnsi="仿宋_GB2312" w:eastAsia="仿宋_GB2312" w:cs="仿宋_GB2312"/>
          <w:position w:val="8"/>
          <w:sz w:val="32"/>
          <w:szCs w:val="32"/>
        </w:rPr>
        <w:t>[34]</w:t>
      </w:r>
      <w:r>
        <w:rPr>
          <w:rFonts w:hint="eastAsia" w:ascii="仿宋_GB2312" w:hAnsi="仿宋_GB2312" w:eastAsia="仿宋_GB2312" w:cs="仿宋_GB2312"/>
          <w:sz w:val="32"/>
          <w:szCs w:val="32"/>
        </w:rPr>
        <w:t>，但非诺贝特不良反应及停药事件的发 生率显著高于苯扎贝特 。</w:t>
      </w:r>
    </w:p>
    <w:p w14:paraId="6519874C">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布地奈德：布地奈德是第2代糖皮质激素，在肝脏内具有较高的首过消除效应，因此全身副作用相对较少。本药可通过糖皮质激素受体/孕烷X受体(PXR)途径参与调控胆汁酸的合成、转运及代谢。与UDCA单药治疗相比，布地奈德(6~9 mg/d)联合UDCA(15 mg·kg-1·d-1)能更好地改善 PBC患者的生化指标和组织学进展。布地奈德(9 mg/d)联合UDCA(12~ 16 mg·kg-1·d-1)可以改善患者的生化指标，但组织学改善并不明显。关于布地奈德能否降低 PBC 患者病死率及肝移植率尚不明确。在晚期 PBC 患者中布地奈德血药浓度显著升高，可出现门静脉血栓形成等严重不良反应。因此，不推荐布地奈德用于肝硬化或门静脉高压患者。</w:t>
      </w:r>
    </w:p>
    <w:p w14:paraId="7AF17D27">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(三)肝移植 </w:t>
      </w:r>
    </w:p>
    <w:p w14:paraId="46D40AE8">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PBC进展至肝硬化失代偿期（腹腔积液、食管胃静脉曲张破裂出血或肝性脑病），且终末期肝病模型(MELD)评分&gt; 15分，或Mayo风险评分&gt;7.8分，可考虑行肝移植。另外，严重的顽固性瘙痒也是肝移植的特殊指征。 </w:t>
      </w:r>
    </w:p>
    <w:p w14:paraId="2DF2FCDD">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firstLine="640" w:firstLineChars="20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PBC 患者肝移植后长期生存率高，但是存在一定复发风险。肝移植后 5 年、10 年和 15年的PBC复发风险分别为22%、21%~37% 和 40%</w:t>
      </w:r>
      <w:r>
        <w:rPr>
          <w:rFonts w:hint="eastAsia" w:ascii="仿宋_GB2312" w:hAnsi="仿宋_GB2312" w:eastAsia="仿宋_GB2312" w:cs="仿宋_GB2312"/>
          <w:position w:val="8"/>
          <w:sz w:val="32"/>
          <w:szCs w:val="32"/>
        </w:rPr>
        <w:t>[42]</w:t>
      </w:r>
      <w:r>
        <w:rPr>
          <w:rFonts w:hint="eastAsia" w:ascii="仿宋_GB2312" w:hAnsi="仿宋_GB2312" w:eastAsia="仿宋_GB2312" w:cs="仿宋_GB2312"/>
          <w:sz w:val="32"/>
          <w:szCs w:val="32"/>
        </w:rPr>
        <w:t>。肝移植术后 AMAs 仍可持续阳性，因此PBC复发的诊断主要依赖组织学特征（非化脓性破坏性胆管炎和/或旺炽性胆管病变）和肝脏生物化学异常。肝移植后复发的危险因素包括；肝移植时年龄较小、术后应用他克莫司以及出现胆汁淤积等。肝移植术后PBC复发可降低移植物和患者的生存率，常规预防性使用UDCA可有效降低PBC的复发。</w:t>
      </w:r>
    </w:p>
    <w:p w14:paraId="2A5B811C">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(四)针对症状和伴发症的治疗</w:t>
      </w:r>
    </w:p>
    <w:p w14:paraId="3DA5A9B5">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乏力：对于乏力的患者需鉴别是否存在其他引起乏力的病因，如贫血、肝外自身免疫性疾病、睡 眠障碍和抑郁症等，并进行针对性治疗。目前尚无针对乏力本身的有效方法。荟萃分析发现UDCA、 奥贝胆酸、氟西汀、秋水仙碱、甲氨蝶呤、环孢素等药物均无法改善乏力症状，而肝移植可显著降低PBC患者疲劳评分。</w:t>
      </w:r>
      <w:r>
        <w:rPr>
          <w:rFonts w:hint="eastAsia" w:ascii="仿宋_GB2312" w:hAnsi="仿宋_GB2312" w:eastAsia="仿宋_GB2312" w:cs="仿宋_GB2312"/>
          <w:position w:val="8"/>
          <w:sz w:val="32"/>
          <w:szCs w:val="32"/>
        </w:rPr>
        <w:t>[</w:t>
      </w:r>
    </w:p>
    <w:p w14:paraId="1A0CECB3">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 瘙痒：大约70% PBC患者出现瘙痒，并对生活质量产生显著影响。目前治疗瘙痒的药物主 要包括考来烯胺、利福平、阿片类受体阻断剂等，顽 固性瘙痒也是肝移植的特殊适应证。有研究提示 苯扎贝特可能有助于缓解 PBC 患者的瘙痒。胆汁酸螯合剂考来烯胺是治疗瘙痒的一线药 物，推荐剂量为 4~16 g/d，然而，其耐受性较差，可出现恶心、腹胀、便秘等副作用。为避免干扰其他药物的吸收，考来烯胺应和其他药物间隔4~6 h服用。如果患者不能耐受考来烯胺，可试用二线药物利福平。利福平能有效缓解胆汁淤积引起的瘙痒。其推荐剂量为150mg，每天 2 次。对于无应答者，剂量可增加至 600 mg/d。但是本药可导致严重肝损伤、溶血性贫血及肾损伤，并与其他药物有相互作用，需严密监测其副作用。 </w:t>
      </w:r>
    </w:p>
    <w:p w14:paraId="429EE8BF">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 眼干、口干：对于合并干眼症的患者首选人工泪液。环孢素眼用制剂或利福舒特眼膏适用于 单用人工泪液无效者，在眼科中广泛使用。有口干和吞咽困难者，可尝试非处方性唾液替代品，如保湿漱口水、口腔喷雾剂等。如仍有症状者，可使用胆碱能药物如毛果云香碱或西维美林等，以增加液体分泌。 </w:t>
      </w:r>
    </w:p>
    <w:p w14:paraId="1B5A1117">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 骨质疏松：代谢性骨病是PBC患者常见的并发症，主要包括骨量减少和骨质疏松。PBC患者骨质疏松的患病率20%~45%，在肝移植、绝经后患者中其发生率更高</w:t>
      </w:r>
      <w:r>
        <w:rPr>
          <w:rFonts w:hint="eastAsia" w:ascii="仿宋_GB2312" w:hAnsi="仿宋_GB2312" w:eastAsia="仿宋_GB2312" w:cs="仿宋_GB2312"/>
          <w:position w:val="8"/>
          <w:sz w:val="32"/>
          <w:szCs w:val="32"/>
        </w:rPr>
        <w:t xml:space="preserve"> </w:t>
      </w:r>
      <w:r>
        <w:rPr>
          <w:rFonts w:hint="eastAsia" w:ascii="仿宋_GB2312" w:hAnsi="仿宋_GB2312" w:eastAsia="仿宋_GB2312" w:cs="仿宋_GB2312"/>
          <w:sz w:val="32"/>
          <w:szCs w:val="32"/>
        </w:rPr>
        <w:t>。双膦酸盐、维生素D和钙剂可用于 PBC 患者骨质疏松的治疗。由于双膦酸盐可能导致静脉 曲张出血、胃食管反应和心房颤动等副作用，因此，在食管静脉曲张患者中须谨慎使用，并应监测其出血风险。 PBC 患者普遍存在维生素D缺乏。对有维生素D缺乏者，建议补充维生素D使其血清25羟基维生素D水平达到30 ng/ml以上。对于50岁以上人群，建议在饮食中摄入足够的钙（800~1 000 mg/d）；对于接受骨质疏松治疗的患者，建议每日补充500~1200 mg钙和400~800 IU维素 D。另外，维生素D用于预防骨质疏松时，推荐 800~1 200 IU/d。</w:t>
      </w:r>
    </w:p>
    <w:p w14:paraId="2B25395B">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p>
    <w:p w14:paraId="413A2CDA">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p>
    <w:p w14:paraId="3FF9A592">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p>
    <w:p w14:paraId="2AAF8EC9">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附</w:t>
      </w:r>
      <w:r>
        <w:rPr>
          <w:rFonts w:hint="eastAsia" w:ascii="仿宋_GB2312" w:hAnsi="仿宋_GB2312" w:eastAsia="仿宋_GB2312" w:cs="仿宋_GB2312"/>
          <w:b/>
          <w:bCs/>
          <w:sz w:val="32"/>
          <w:szCs w:val="32"/>
        </w:rPr>
        <w:t>单项选择题</w:t>
      </w:r>
      <w:r>
        <w:rPr>
          <w:rFonts w:hint="eastAsia" w:ascii="仿宋_GB2312" w:hAnsi="仿宋_GB2312" w:eastAsia="仿宋_GB2312" w:cs="仿宋_GB2312"/>
          <w:b/>
          <w:bCs/>
          <w:sz w:val="32"/>
          <w:szCs w:val="32"/>
          <w:lang w:val="en-US" w:eastAsia="zh-CN"/>
        </w:rPr>
        <w:t xml:space="preserve">  </w:t>
      </w:r>
    </w:p>
    <w:p w14:paraId="4E8D4627">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1. 原发性胆汁性胆管炎的症状有（</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14:paraId="75FD6A89">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A.皮肤瘙痒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B.乏力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C.黄疸  </w:t>
      </w:r>
    </w:p>
    <w:p w14:paraId="254D2D79">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D.脂肪泻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E.以上都是</w:t>
      </w:r>
    </w:p>
    <w:p w14:paraId="3D012D3D">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2.对原发性胆汁性胆管炎诊断敏感度最高的线粒体亚型是（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14:paraId="138C6AA6">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A.M2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B.M4</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C.M8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D.M9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E.M10</w:t>
      </w:r>
    </w:p>
    <w:p w14:paraId="30590413">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3.原发性胆汁性胆管炎血清免疫性特点（</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14:paraId="5E63F531">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A.IgG升高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B.IgM升高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C.IgA升高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D.IgE升高</w:t>
      </w:r>
    </w:p>
    <w:p w14:paraId="09977CD6">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4.下列不属于原发性胆汁性胆管炎诊断标准有（</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14:paraId="35FF2F2B">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A.存在胆汁淤积的生化表现，胆汁淤积酶的异常升高</w:t>
      </w:r>
    </w:p>
    <w:p w14:paraId="5DC2516C">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B.血清抗线粒体抗体或抗线粒体抗体M2型（AMA-M2）抗体阳性</w:t>
      </w:r>
    </w:p>
    <w:p w14:paraId="3FC4C0C1">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C.肝组织学支持原发性胆汁性胆管炎</w:t>
      </w:r>
    </w:p>
    <w:p w14:paraId="485310F1">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D.IgG升高</w:t>
      </w:r>
    </w:p>
    <w:p w14:paraId="6E1694CF">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5.下列不可用于诊断PBC的抗体是（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14:paraId="29BFF45F">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AMA‐M</w:t>
      </w:r>
      <w:r>
        <w:rPr>
          <w:rFonts w:hint="eastAsia" w:ascii="仿宋_GB2312" w:hAnsi="仿宋_GB2312" w:eastAsia="仿宋_GB2312" w:cs="仿宋_GB2312"/>
          <w:position w:val="-4"/>
          <w:sz w:val="32"/>
          <w:szCs w:val="32"/>
        </w:rPr>
        <w:t>2</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B.sp100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C. gp210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D.ASMA</w:t>
      </w:r>
    </w:p>
    <w:p w14:paraId="28D58CE0">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6.原发性胆汁性胆管炎需要排除的是（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14:paraId="5D6931B8">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A.HCV感染的患者</w:t>
      </w:r>
    </w:p>
    <w:p w14:paraId="393B17E1">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B.门静脉高压症并发症的患者</w:t>
      </w:r>
    </w:p>
    <w:p w14:paraId="3198F541">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C.严重瘙痒或需要全身治疗瘙痒的患者</w:t>
      </w:r>
    </w:p>
    <w:p w14:paraId="66F7436B">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D.以上都是</w:t>
      </w:r>
    </w:p>
    <w:p w14:paraId="599EC3BA">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7.原发性胆汁性胆管炎治疗药物首选（</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14:paraId="51F1249C">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A.熊去氧胆酸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B.糖皮质激素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C.环孢素  </w:t>
      </w:r>
    </w:p>
    <w:p w14:paraId="6D0AECCD">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D.苯扎贝特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E.奥贝胆酸</w:t>
      </w:r>
    </w:p>
    <w:p w14:paraId="1CFA1858">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8.关于熊去氧胆酸描述正确的是（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14:paraId="6735C502">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A.是PBC治疗的一线药物</w:t>
      </w:r>
    </w:p>
    <w:p w14:paraId="52C56144">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B.安全性良好</w:t>
      </w:r>
    </w:p>
    <w:p w14:paraId="3CBC1857">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position w:val="8"/>
          <w:sz w:val="32"/>
          <w:szCs w:val="32"/>
        </w:rPr>
      </w:pPr>
      <w:r>
        <w:rPr>
          <w:rFonts w:hint="eastAsia" w:ascii="仿宋_GB2312" w:hAnsi="仿宋_GB2312" w:eastAsia="仿宋_GB2312" w:cs="仿宋_GB2312"/>
          <w:sz w:val="32"/>
          <w:szCs w:val="32"/>
        </w:rPr>
        <w:t>C.推荐剂量13~15 mg·kg</w:t>
      </w:r>
      <w:r>
        <w:rPr>
          <w:rFonts w:hint="eastAsia" w:ascii="仿宋_GB2312" w:hAnsi="仿宋_GB2312" w:eastAsia="仿宋_GB2312" w:cs="仿宋_GB2312"/>
          <w:position w:val="8"/>
          <w:sz w:val="32"/>
          <w:szCs w:val="32"/>
        </w:rPr>
        <w:t>-1</w:t>
      </w:r>
      <w:r>
        <w:rPr>
          <w:rFonts w:hint="eastAsia" w:ascii="仿宋_GB2312" w:hAnsi="仿宋_GB2312" w:eastAsia="仿宋_GB2312" w:cs="仿宋_GB2312"/>
          <w:sz w:val="32"/>
          <w:szCs w:val="32"/>
        </w:rPr>
        <w:t>·d</w:t>
      </w:r>
      <w:r>
        <w:rPr>
          <w:rFonts w:hint="eastAsia" w:ascii="仿宋_GB2312" w:hAnsi="仿宋_GB2312" w:eastAsia="仿宋_GB2312" w:cs="仿宋_GB2312"/>
          <w:position w:val="8"/>
          <w:sz w:val="32"/>
          <w:szCs w:val="32"/>
        </w:rPr>
        <w:t>-1</w:t>
      </w:r>
    </w:p>
    <w:p w14:paraId="32440FED">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D.以上都对</w:t>
      </w:r>
    </w:p>
    <w:p w14:paraId="24B65227">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9.下列哪项不能说PBC进展至肝硬化失代偿期（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14:paraId="3182D9EA">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A.腹腔积液</w:t>
      </w:r>
    </w:p>
    <w:p w14:paraId="3DEA865C">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B.食管胃静脉曲张破裂出血</w:t>
      </w:r>
    </w:p>
    <w:p w14:paraId="5D56A825">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C.胆红素升高</w:t>
      </w:r>
    </w:p>
    <w:p w14:paraId="414572CB">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D.肝性脑病</w:t>
      </w:r>
    </w:p>
    <w:p w14:paraId="42E5F89A">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10.PBC肝移植指征（</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14:paraId="691FD59A">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A．肝硬化代偿期</w:t>
      </w:r>
    </w:p>
    <w:p w14:paraId="12360E42">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B．终末期肝病模型(MELD)评分＜ 15分；</w:t>
      </w:r>
    </w:p>
    <w:p w14:paraId="5B409523">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C．Mayo风险评分＜7.8分；</w:t>
      </w:r>
    </w:p>
    <w:p w14:paraId="10105ADD">
      <w:pPr>
        <w:pStyle w:val="13"/>
        <w:keepNext w:val="0"/>
        <w:keepLines w:val="0"/>
        <w:pageBreakBefore w:val="0"/>
        <w:kinsoku/>
        <w:wordWrap/>
        <w:overflowPunct/>
        <w:topLinePunct w:val="0"/>
        <w:autoSpaceDE/>
        <w:autoSpaceDN/>
        <w:bidi w:val="0"/>
        <w:adjustRightInd/>
        <w:snapToGrid/>
        <w:spacing w:before="156" w:beforeLines="50" w:beforeAutospacing="0" w:after="156" w:afterLines="50" w:afterAutospacing="0" w:line="590" w:lineRule="exact"/>
        <w:ind w:right="100" w:rightChars="50"/>
        <w:contextualSpacing/>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D．严重的顽固性瘙痒</w:t>
      </w:r>
    </w:p>
    <w:p w14:paraId="70A1C170">
      <w:pPr>
        <w:keepNext w:val="0"/>
        <w:keepLines w:val="0"/>
        <w:pageBreakBefore w:val="0"/>
        <w:kinsoku/>
        <w:wordWrap/>
        <w:overflowPunct/>
        <w:topLinePunct w:val="0"/>
        <w:autoSpaceDE/>
        <w:autoSpaceDN/>
        <w:bidi w:val="0"/>
        <w:adjustRightInd/>
        <w:snapToGrid/>
        <w:spacing w:after="0" w:line="590" w:lineRule="exact"/>
        <w:contextualSpacing/>
        <w:textAlignment w:val="auto"/>
        <w:rPr>
          <w:rFonts w:hint="eastAsia" w:ascii="仿宋_GB2312" w:hAnsi="仿宋_GB2312" w:eastAsia="仿宋_GB2312" w:cs="仿宋_GB2312"/>
          <w:sz w:val="32"/>
          <w:szCs w:val="32"/>
        </w:rPr>
      </w:pPr>
    </w:p>
    <w:sectPr>
      <w:pgSz w:w="11900" w:h="16840"/>
      <w:pgMar w:top="1814" w:right="1587" w:bottom="1701" w:left="1587" w:header="851" w:footer="992" w:gutter="0"/>
      <w:paperSrc/>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ongti SC">
    <w:altName w:val="宋体"/>
    <w:panose1 w:val="02010600040101010101"/>
    <w:charset w:val="86"/>
    <w:family w:val="auto"/>
    <w:pitch w:val="default"/>
    <w:sig w:usb0="00000000" w:usb1="00000000" w:usb2="00000010" w:usb3="00000000" w:csb0="000400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0B1E53"/>
    <w:multiLevelType w:val="singleLevel"/>
    <w:tmpl w:val="DA0B1E53"/>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DD7"/>
    <w:rsid w:val="00071A23"/>
    <w:rsid w:val="000D41EF"/>
    <w:rsid w:val="00106F93"/>
    <w:rsid w:val="00153BDA"/>
    <w:rsid w:val="00171E5A"/>
    <w:rsid w:val="00255E8C"/>
    <w:rsid w:val="0027252A"/>
    <w:rsid w:val="002B181B"/>
    <w:rsid w:val="002B5DD7"/>
    <w:rsid w:val="00392395"/>
    <w:rsid w:val="003A3741"/>
    <w:rsid w:val="004027AD"/>
    <w:rsid w:val="004A33FD"/>
    <w:rsid w:val="00510334"/>
    <w:rsid w:val="005367FF"/>
    <w:rsid w:val="005A421C"/>
    <w:rsid w:val="006B4568"/>
    <w:rsid w:val="006C457F"/>
    <w:rsid w:val="006D1830"/>
    <w:rsid w:val="006F1738"/>
    <w:rsid w:val="0071333C"/>
    <w:rsid w:val="00790164"/>
    <w:rsid w:val="0093394F"/>
    <w:rsid w:val="00AB3CA1"/>
    <w:rsid w:val="00B339B9"/>
    <w:rsid w:val="00CA29C0"/>
    <w:rsid w:val="00D1630F"/>
    <w:rsid w:val="00D525D2"/>
    <w:rsid w:val="00DD654E"/>
    <w:rsid w:val="00E069A7"/>
    <w:rsid w:val="00E318A5"/>
    <w:rsid w:val="0A177E10"/>
    <w:rsid w:val="737271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Theme="minorHAnsi" w:hAnsiTheme="minorHAnsi" w:eastAsiaTheme="minorEastAsia" w:cstheme="minorBidi"/>
      <w:lang w:val="en-US" w:eastAsia="zh-CN" w:bidi="ar-SA"/>
    </w:rPr>
  </w:style>
  <w:style w:type="paragraph" w:styleId="2">
    <w:name w:val="heading 1"/>
    <w:basedOn w:val="1"/>
    <w:next w:val="1"/>
    <w:link w:val="20"/>
    <w:qFormat/>
    <w:uiPriority w:val="9"/>
    <w:pPr>
      <w:spacing w:before="300" w:after="40"/>
      <w:jc w:val="left"/>
      <w:outlineLvl w:val="0"/>
    </w:pPr>
    <w:rPr>
      <w:smallCaps/>
      <w:spacing w:val="5"/>
      <w:sz w:val="32"/>
      <w:szCs w:val="32"/>
    </w:rPr>
  </w:style>
  <w:style w:type="paragraph" w:styleId="3">
    <w:name w:val="heading 2"/>
    <w:basedOn w:val="1"/>
    <w:next w:val="1"/>
    <w:link w:val="21"/>
    <w:semiHidden/>
    <w:unhideWhenUsed/>
    <w:qFormat/>
    <w:uiPriority w:val="9"/>
    <w:pPr>
      <w:spacing w:before="240" w:after="80"/>
      <w:jc w:val="left"/>
      <w:outlineLvl w:val="1"/>
    </w:pPr>
    <w:rPr>
      <w:smallCaps/>
      <w:spacing w:val="5"/>
      <w:sz w:val="28"/>
      <w:szCs w:val="28"/>
    </w:rPr>
  </w:style>
  <w:style w:type="paragraph" w:styleId="4">
    <w:name w:val="heading 3"/>
    <w:basedOn w:val="1"/>
    <w:next w:val="1"/>
    <w:link w:val="22"/>
    <w:semiHidden/>
    <w:unhideWhenUsed/>
    <w:qFormat/>
    <w:uiPriority w:val="9"/>
    <w:pPr>
      <w:jc w:val="left"/>
      <w:outlineLvl w:val="2"/>
    </w:pPr>
    <w:rPr>
      <w:smallCaps/>
      <w:spacing w:val="5"/>
      <w:sz w:val="24"/>
      <w:szCs w:val="24"/>
    </w:rPr>
  </w:style>
  <w:style w:type="paragraph" w:styleId="5">
    <w:name w:val="heading 4"/>
    <w:basedOn w:val="1"/>
    <w:next w:val="1"/>
    <w:link w:val="23"/>
    <w:semiHidden/>
    <w:unhideWhenUsed/>
    <w:qFormat/>
    <w:uiPriority w:val="9"/>
    <w:pPr>
      <w:spacing w:before="240"/>
      <w:jc w:val="left"/>
      <w:outlineLvl w:val="3"/>
    </w:pPr>
    <w:rPr>
      <w:smallCaps/>
      <w:spacing w:val="10"/>
      <w:sz w:val="22"/>
      <w:szCs w:val="22"/>
    </w:rPr>
  </w:style>
  <w:style w:type="paragraph" w:styleId="6">
    <w:name w:val="heading 5"/>
    <w:basedOn w:val="1"/>
    <w:next w:val="1"/>
    <w:link w:val="24"/>
    <w:semiHidden/>
    <w:unhideWhenUsed/>
    <w:qFormat/>
    <w:uiPriority w:val="9"/>
    <w:pPr>
      <w:spacing w:before="200"/>
      <w:jc w:val="left"/>
      <w:outlineLvl w:val="4"/>
    </w:pPr>
    <w:rPr>
      <w:smallCaps/>
      <w:color w:val="C55A11" w:themeColor="accent2" w:themeShade="BF"/>
      <w:spacing w:val="10"/>
      <w:sz w:val="22"/>
      <w:szCs w:val="26"/>
    </w:rPr>
  </w:style>
  <w:style w:type="paragraph" w:styleId="7">
    <w:name w:val="heading 6"/>
    <w:basedOn w:val="1"/>
    <w:next w:val="1"/>
    <w:link w:val="25"/>
    <w:semiHidden/>
    <w:unhideWhenUsed/>
    <w:qFormat/>
    <w:uiPriority w:val="9"/>
    <w:pPr>
      <w:jc w:val="left"/>
      <w:outlineLvl w:val="5"/>
    </w:pPr>
    <w:rPr>
      <w:smallCaps/>
      <w:color w:val="ED7D31" w:themeColor="accent2"/>
      <w:spacing w:val="5"/>
      <w:sz w:val="22"/>
      <w14:textFill>
        <w14:solidFill>
          <w14:schemeClr w14:val="accent2"/>
        </w14:solidFill>
      </w14:textFill>
    </w:rPr>
  </w:style>
  <w:style w:type="paragraph" w:styleId="8">
    <w:name w:val="heading 7"/>
    <w:basedOn w:val="1"/>
    <w:next w:val="1"/>
    <w:link w:val="26"/>
    <w:semiHidden/>
    <w:unhideWhenUsed/>
    <w:qFormat/>
    <w:uiPriority w:val="9"/>
    <w:pPr>
      <w:jc w:val="left"/>
      <w:outlineLvl w:val="6"/>
    </w:pPr>
    <w:rPr>
      <w:b/>
      <w:smallCaps/>
      <w:color w:val="ED7D31" w:themeColor="accent2"/>
      <w:spacing w:val="10"/>
      <w14:textFill>
        <w14:solidFill>
          <w14:schemeClr w14:val="accent2"/>
        </w14:solidFill>
      </w14:textFill>
    </w:rPr>
  </w:style>
  <w:style w:type="paragraph" w:styleId="9">
    <w:name w:val="heading 8"/>
    <w:basedOn w:val="1"/>
    <w:next w:val="1"/>
    <w:link w:val="27"/>
    <w:semiHidden/>
    <w:unhideWhenUsed/>
    <w:qFormat/>
    <w:uiPriority w:val="9"/>
    <w:pPr>
      <w:jc w:val="left"/>
      <w:outlineLvl w:val="7"/>
    </w:pPr>
    <w:rPr>
      <w:b/>
      <w:i/>
      <w:smallCaps/>
      <w:color w:val="C55A11" w:themeColor="accent2" w:themeShade="BF"/>
    </w:rPr>
  </w:style>
  <w:style w:type="paragraph" w:styleId="10">
    <w:name w:val="heading 9"/>
    <w:basedOn w:val="1"/>
    <w:next w:val="1"/>
    <w:link w:val="28"/>
    <w:semiHidden/>
    <w:unhideWhenUsed/>
    <w:qFormat/>
    <w:uiPriority w:val="9"/>
    <w:pPr>
      <w:jc w:val="left"/>
      <w:outlineLvl w:val="8"/>
    </w:pPr>
    <w:rPr>
      <w:b/>
      <w:i/>
      <w:smallCaps/>
      <w:color w:val="843C0B" w:themeColor="accent2" w:themeShade="80"/>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rPr>
      <w:b/>
      <w:bCs/>
      <w:caps/>
      <w:sz w:val="16"/>
      <w:szCs w:val="18"/>
    </w:rPr>
  </w:style>
  <w:style w:type="paragraph" w:styleId="12">
    <w:name w:val="Subtitle"/>
    <w:basedOn w:val="1"/>
    <w:next w:val="1"/>
    <w:link w:val="30"/>
    <w:qFormat/>
    <w:uiPriority w:val="11"/>
    <w:pPr>
      <w:spacing w:after="720"/>
      <w:jc w:val="right"/>
    </w:pPr>
    <w:rPr>
      <w:rFonts w:asciiTheme="majorHAnsi" w:hAnsiTheme="majorHAnsi" w:eastAsiaTheme="majorEastAsia" w:cstheme="majorBidi"/>
      <w:szCs w:val="22"/>
    </w:rPr>
  </w:style>
  <w:style w:type="paragraph" w:styleId="13">
    <w:name w:val="Normal (Web)"/>
    <w:basedOn w:val="1"/>
    <w:unhideWhenUsed/>
    <w:qFormat/>
    <w:uiPriority w:val="99"/>
    <w:pPr>
      <w:spacing w:before="100" w:beforeAutospacing="1" w:after="100" w:afterAutospacing="1"/>
      <w:jc w:val="left"/>
    </w:pPr>
    <w:rPr>
      <w:rFonts w:ascii="宋体" w:hAnsi="宋体" w:eastAsia="宋体" w:cs="宋体"/>
      <w:sz w:val="24"/>
    </w:rPr>
  </w:style>
  <w:style w:type="paragraph" w:styleId="14">
    <w:name w:val="Title"/>
    <w:basedOn w:val="1"/>
    <w:next w:val="1"/>
    <w:link w:val="29"/>
    <w:qFormat/>
    <w:uiPriority w:val="10"/>
    <w:pPr>
      <w:pBdr>
        <w:top w:val="single" w:color="ED7D31" w:themeColor="accent2" w:sz="12" w:space="1"/>
      </w:pBdr>
      <w:jc w:val="right"/>
    </w:pPr>
    <w:rPr>
      <w:smallCaps/>
      <w:sz w:val="48"/>
      <w:szCs w:val="48"/>
    </w:rPr>
  </w:style>
  <w:style w:type="character" w:styleId="17">
    <w:name w:val="Strong"/>
    <w:qFormat/>
    <w:uiPriority w:val="22"/>
    <w:rPr>
      <w:b/>
      <w:color w:val="ED7D31" w:themeColor="accent2"/>
      <w14:textFill>
        <w14:solidFill>
          <w14:schemeClr w14:val="accent2"/>
        </w14:solidFill>
      </w14:textFill>
    </w:rPr>
  </w:style>
  <w:style w:type="character" w:styleId="18">
    <w:name w:val="Emphasis"/>
    <w:qFormat/>
    <w:uiPriority w:val="20"/>
    <w:rPr>
      <w:b/>
      <w:i/>
      <w:spacing w:val="10"/>
    </w:rPr>
  </w:style>
  <w:style w:type="character" w:customStyle="1" w:styleId="19">
    <w:name w:val="text_ctab4"/>
    <w:basedOn w:val="16"/>
    <w:qFormat/>
    <w:uiPriority w:val="0"/>
  </w:style>
  <w:style w:type="character" w:customStyle="1" w:styleId="20">
    <w:name w:val="标题 1 字符"/>
    <w:basedOn w:val="16"/>
    <w:link w:val="2"/>
    <w:qFormat/>
    <w:uiPriority w:val="9"/>
    <w:rPr>
      <w:smallCaps/>
      <w:spacing w:val="5"/>
      <w:sz w:val="32"/>
      <w:szCs w:val="32"/>
    </w:rPr>
  </w:style>
  <w:style w:type="character" w:customStyle="1" w:styleId="21">
    <w:name w:val="标题 2 字符"/>
    <w:basedOn w:val="16"/>
    <w:link w:val="3"/>
    <w:semiHidden/>
    <w:qFormat/>
    <w:uiPriority w:val="9"/>
    <w:rPr>
      <w:smallCaps/>
      <w:spacing w:val="5"/>
      <w:sz w:val="28"/>
      <w:szCs w:val="28"/>
    </w:rPr>
  </w:style>
  <w:style w:type="character" w:customStyle="1" w:styleId="22">
    <w:name w:val="标题 3 字符"/>
    <w:basedOn w:val="16"/>
    <w:link w:val="4"/>
    <w:semiHidden/>
    <w:qFormat/>
    <w:uiPriority w:val="9"/>
    <w:rPr>
      <w:smallCaps/>
      <w:spacing w:val="5"/>
      <w:sz w:val="24"/>
      <w:szCs w:val="24"/>
    </w:rPr>
  </w:style>
  <w:style w:type="character" w:customStyle="1" w:styleId="23">
    <w:name w:val="标题 4 字符"/>
    <w:basedOn w:val="16"/>
    <w:link w:val="5"/>
    <w:semiHidden/>
    <w:qFormat/>
    <w:uiPriority w:val="9"/>
    <w:rPr>
      <w:smallCaps/>
      <w:spacing w:val="10"/>
      <w:sz w:val="22"/>
      <w:szCs w:val="22"/>
    </w:rPr>
  </w:style>
  <w:style w:type="character" w:customStyle="1" w:styleId="24">
    <w:name w:val="标题 5 字符"/>
    <w:basedOn w:val="16"/>
    <w:link w:val="6"/>
    <w:semiHidden/>
    <w:qFormat/>
    <w:uiPriority w:val="9"/>
    <w:rPr>
      <w:smallCaps/>
      <w:color w:val="C55A11" w:themeColor="accent2" w:themeShade="BF"/>
      <w:spacing w:val="10"/>
      <w:sz w:val="22"/>
      <w:szCs w:val="26"/>
    </w:rPr>
  </w:style>
  <w:style w:type="character" w:customStyle="1" w:styleId="25">
    <w:name w:val="标题 6 字符"/>
    <w:basedOn w:val="16"/>
    <w:link w:val="7"/>
    <w:semiHidden/>
    <w:qFormat/>
    <w:uiPriority w:val="9"/>
    <w:rPr>
      <w:smallCaps/>
      <w:color w:val="ED7D31" w:themeColor="accent2"/>
      <w:spacing w:val="5"/>
      <w:sz w:val="22"/>
      <w14:textFill>
        <w14:solidFill>
          <w14:schemeClr w14:val="accent2"/>
        </w14:solidFill>
      </w14:textFill>
    </w:rPr>
  </w:style>
  <w:style w:type="character" w:customStyle="1" w:styleId="26">
    <w:name w:val="标题 7 字符"/>
    <w:basedOn w:val="16"/>
    <w:link w:val="8"/>
    <w:semiHidden/>
    <w:qFormat/>
    <w:uiPriority w:val="9"/>
    <w:rPr>
      <w:b/>
      <w:smallCaps/>
      <w:color w:val="ED7D31" w:themeColor="accent2"/>
      <w:spacing w:val="10"/>
      <w14:textFill>
        <w14:solidFill>
          <w14:schemeClr w14:val="accent2"/>
        </w14:solidFill>
      </w14:textFill>
    </w:rPr>
  </w:style>
  <w:style w:type="character" w:customStyle="1" w:styleId="27">
    <w:name w:val="标题 8 字符"/>
    <w:basedOn w:val="16"/>
    <w:link w:val="9"/>
    <w:semiHidden/>
    <w:qFormat/>
    <w:uiPriority w:val="9"/>
    <w:rPr>
      <w:b/>
      <w:i/>
      <w:smallCaps/>
      <w:color w:val="C55A11" w:themeColor="accent2" w:themeShade="BF"/>
    </w:rPr>
  </w:style>
  <w:style w:type="character" w:customStyle="1" w:styleId="28">
    <w:name w:val="标题 9 字符"/>
    <w:basedOn w:val="16"/>
    <w:link w:val="10"/>
    <w:semiHidden/>
    <w:qFormat/>
    <w:uiPriority w:val="9"/>
    <w:rPr>
      <w:b/>
      <w:i/>
      <w:smallCaps/>
      <w:color w:val="843C0B" w:themeColor="accent2" w:themeShade="80"/>
    </w:rPr>
  </w:style>
  <w:style w:type="character" w:customStyle="1" w:styleId="29">
    <w:name w:val="标题 字符"/>
    <w:basedOn w:val="16"/>
    <w:link w:val="14"/>
    <w:qFormat/>
    <w:uiPriority w:val="10"/>
    <w:rPr>
      <w:smallCaps/>
      <w:sz w:val="48"/>
      <w:szCs w:val="48"/>
    </w:rPr>
  </w:style>
  <w:style w:type="character" w:customStyle="1" w:styleId="30">
    <w:name w:val="副标题 字符"/>
    <w:basedOn w:val="16"/>
    <w:link w:val="12"/>
    <w:uiPriority w:val="11"/>
    <w:rPr>
      <w:rFonts w:asciiTheme="majorHAnsi" w:hAnsiTheme="majorHAnsi" w:eastAsiaTheme="majorEastAsia" w:cstheme="majorBidi"/>
      <w:szCs w:val="22"/>
    </w:rPr>
  </w:style>
  <w:style w:type="paragraph" w:styleId="31">
    <w:name w:val="No Spacing"/>
    <w:basedOn w:val="1"/>
    <w:link w:val="32"/>
    <w:qFormat/>
    <w:uiPriority w:val="1"/>
  </w:style>
  <w:style w:type="character" w:customStyle="1" w:styleId="32">
    <w:name w:val="无间隔 字符"/>
    <w:basedOn w:val="16"/>
    <w:link w:val="31"/>
    <w:uiPriority w:val="1"/>
  </w:style>
  <w:style w:type="paragraph" w:styleId="33">
    <w:name w:val="List Paragraph"/>
    <w:basedOn w:val="1"/>
    <w:qFormat/>
    <w:uiPriority w:val="34"/>
    <w:pPr>
      <w:ind w:left="720"/>
      <w:contextualSpacing/>
    </w:pPr>
  </w:style>
  <w:style w:type="paragraph" w:styleId="34">
    <w:name w:val="Quote"/>
    <w:basedOn w:val="1"/>
    <w:next w:val="1"/>
    <w:link w:val="35"/>
    <w:qFormat/>
    <w:uiPriority w:val="29"/>
    <w:rPr>
      <w:i/>
    </w:rPr>
  </w:style>
  <w:style w:type="character" w:customStyle="1" w:styleId="35">
    <w:name w:val="引用 字符"/>
    <w:basedOn w:val="16"/>
    <w:link w:val="34"/>
    <w:qFormat/>
    <w:uiPriority w:val="29"/>
    <w:rPr>
      <w:i/>
    </w:rPr>
  </w:style>
  <w:style w:type="paragraph" w:styleId="36">
    <w:name w:val="Intense Quote"/>
    <w:basedOn w:val="1"/>
    <w:next w:val="1"/>
    <w:link w:val="37"/>
    <w:qFormat/>
    <w:uiPriority w:val="30"/>
    <w:pPr>
      <w:pBdr>
        <w:top w:val="single" w:color="C55911" w:themeColor="accent2" w:themeShade="BF" w:sz="8" w:space="10"/>
        <w:left w:val="single" w:color="C55911" w:themeColor="accent2" w:themeShade="BF" w:sz="8" w:space="10"/>
        <w:bottom w:val="single" w:color="C55911" w:themeColor="accent2" w:themeShade="BF" w:sz="8" w:space="10"/>
        <w:right w:val="single" w:color="C55911" w:themeColor="accent2" w:themeShade="BF" w:sz="8" w:space="10"/>
      </w:pBdr>
      <w:shd w:val="clear" w:color="auto" w:fill="ED7D31" w:themeFill="accent2"/>
      <w:spacing w:before="140" w:after="140"/>
      <w:ind w:left="1440" w:right="1440"/>
    </w:pPr>
    <w:rPr>
      <w:b/>
      <w:i/>
      <w:color w:val="FFFFFF" w:themeColor="background1"/>
      <w14:textFill>
        <w14:solidFill>
          <w14:schemeClr w14:val="bg1"/>
        </w14:solidFill>
      </w14:textFill>
    </w:rPr>
  </w:style>
  <w:style w:type="character" w:customStyle="1" w:styleId="37">
    <w:name w:val="明显引用 字符"/>
    <w:basedOn w:val="16"/>
    <w:link w:val="36"/>
    <w:qFormat/>
    <w:uiPriority w:val="30"/>
    <w:rPr>
      <w:b/>
      <w:i/>
      <w:color w:val="FFFFFF" w:themeColor="background1"/>
      <w:shd w:val="clear" w:color="auto" w:fill="ED7D31" w:themeFill="accent2"/>
      <w14:textFill>
        <w14:solidFill>
          <w14:schemeClr w14:val="bg1"/>
        </w14:solidFill>
      </w14:textFill>
    </w:rPr>
  </w:style>
  <w:style w:type="character" w:customStyle="1" w:styleId="38">
    <w:name w:val="Subtle Emphasis"/>
    <w:qFormat/>
    <w:uiPriority w:val="19"/>
    <w:rPr>
      <w:i/>
    </w:rPr>
  </w:style>
  <w:style w:type="character" w:customStyle="1" w:styleId="39">
    <w:name w:val="Intense Emphasis"/>
    <w:qFormat/>
    <w:uiPriority w:val="21"/>
    <w:rPr>
      <w:b/>
      <w:i/>
      <w:color w:val="ED7D31" w:themeColor="accent2"/>
      <w:spacing w:val="10"/>
      <w14:textFill>
        <w14:solidFill>
          <w14:schemeClr w14:val="accent2"/>
        </w14:solidFill>
      </w14:textFill>
    </w:rPr>
  </w:style>
  <w:style w:type="character" w:customStyle="1" w:styleId="40">
    <w:name w:val="Subtle Reference"/>
    <w:qFormat/>
    <w:uiPriority w:val="31"/>
    <w:rPr>
      <w:b/>
    </w:rPr>
  </w:style>
  <w:style w:type="character" w:customStyle="1" w:styleId="41">
    <w:name w:val="Intense Reference"/>
    <w:qFormat/>
    <w:uiPriority w:val="32"/>
    <w:rPr>
      <w:b/>
      <w:bCs/>
      <w:smallCaps/>
      <w:spacing w:val="5"/>
      <w:sz w:val="22"/>
      <w:szCs w:val="22"/>
      <w:u w:val="single"/>
    </w:rPr>
  </w:style>
  <w:style w:type="character" w:customStyle="1" w:styleId="42">
    <w:name w:val="Book Title"/>
    <w:qFormat/>
    <w:uiPriority w:val="33"/>
    <w:rPr>
      <w:rFonts w:asciiTheme="majorHAnsi" w:hAnsiTheme="majorHAnsi" w:eastAsiaTheme="majorEastAsia" w:cstheme="majorBidi"/>
      <w:i/>
      <w:iCs/>
      <w:sz w:val="20"/>
      <w:szCs w:val="20"/>
    </w:rPr>
  </w:style>
  <w:style w:type="paragraph" w:customStyle="1" w:styleId="43">
    <w:name w:val="TOC Heading"/>
    <w:basedOn w:val="2"/>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5566</Words>
  <Characters>6414</Characters>
  <Lines>47</Lines>
  <Paragraphs>13</Paragraphs>
  <TotalTime>175</TotalTime>
  <ScaleCrop>false</ScaleCrop>
  <LinksUpToDate>false</LinksUpToDate>
  <CharactersWithSpaces>6617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2024-03-11T13:58:00Z</dcterms:created>
  <dc:creator>Microsoft Office User</dc:creator>
  <cp:lastModifiedBy>lenovo</cp:lastModifiedBy>
  <dcterms:modified xsi:type="dcterms:W3CDTF">2025-01-08T07:40:43Z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eyJoZGlkIjoiMDAxYmE2ZWJmM2RkM2I4YjQwM2FjMjkzN2EyMTE1MGUifQ==</vt:lpwstr>
  </property>
  <property fmtid="{D5CDD505-2E9C-101B-9397-08002B2CF9AE}" pid="3" name="KSOProductBuildVer">
    <vt:lpwstr>2052-12.1.0.19770</vt:lpwstr>
  </property>
  <property fmtid="{D5CDD505-2E9C-101B-9397-08002B2CF9AE}" pid="4" name="ICV">
    <vt:lpwstr>ED21962C671D48498BC7703106B9EF29_12</vt:lpwstr>
  </property>
</Properties>
</file>